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w:t>
      </w:r>
      <w:r w:rsidR="00F87DA4">
        <w:t>2</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Default="00FD4421" w:rsidP="00983BB2">
      <w:pPr>
        <w:spacing w:after="51"/>
        <w:ind w:left="137" w:right="111" w:firstLine="0"/>
        <w:rPr>
          <w:color w:val="auto"/>
        </w:rPr>
      </w:pPr>
      <w:r w:rsidRPr="00983BB2">
        <w:rPr>
          <w:color w:val="auto"/>
        </w:rPr>
        <w:t>3.  Zapłata wynagrodzenia Wykonawcy inwestycji w całości nastąpi po wykonaniu inwestycji</w:t>
      </w:r>
      <w:r w:rsidR="00983BB2" w:rsidRPr="00983BB2">
        <w:rPr>
          <w:color w:val="auto"/>
        </w:rPr>
        <w:t>, w terminie nie dłuższym niż 30</w:t>
      </w:r>
      <w:r w:rsidRPr="00983BB2">
        <w:rPr>
          <w:color w:val="auto"/>
        </w:rPr>
        <w:t xml:space="preserve"> dni od dnia jej odbioru przez zamawiającego.</w:t>
      </w:r>
    </w:p>
    <w:p w:rsidR="006C0611" w:rsidRDefault="0062624D" w:rsidP="006C0611">
      <w:pPr>
        <w:spacing w:after="0" w:line="259" w:lineRule="auto"/>
        <w:ind w:right="111" w:firstLine="187"/>
      </w:pPr>
      <w:r>
        <w:rPr>
          <w:color w:val="auto"/>
        </w:rPr>
        <w:t xml:space="preserve">4. </w:t>
      </w:r>
      <w:r w:rsidR="006C0611" w:rsidRPr="000F0C83">
        <w:t xml:space="preserve">Przedmiot zamówienia finansowany jest ze środków budżetu Gminy Kazanów oraz budżetu Województwa </w:t>
      </w:r>
      <w:r w:rsidR="006C0611">
        <w:t xml:space="preserve">       </w:t>
      </w:r>
    </w:p>
    <w:p w:rsidR="006C0611" w:rsidRDefault="006C0611" w:rsidP="006C0611">
      <w:pPr>
        <w:spacing w:after="0" w:line="259" w:lineRule="auto"/>
        <w:ind w:right="111" w:firstLine="187"/>
      </w:pPr>
      <w:r>
        <w:t xml:space="preserve">   </w:t>
      </w:r>
      <w:r w:rsidRPr="000F0C83">
        <w:t xml:space="preserve">Mazowieckiego w ramach Mazowieckiego Instrumentu Wsparcia Infrastruktury Sportowej „Mazowsze dla sportu </w:t>
      </w:r>
    </w:p>
    <w:p w:rsidR="006C0611" w:rsidRPr="000F0C83" w:rsidRDefault="006C0611" w:rsidP="006C0611">
      <w:pPr>
        <w:spacing w:after="0" w:line="259" w:lineRule="auto"/>
        <w:ind w:right="111" w:firstLine="187"/>
        <w:rPr>
          <w:b/>
          <w:color w:val="FF0000"/>
        </w:rPr>
      </w:pPr>
      <w:r>
        <w:t xml:space="preserve"> </w:t>
      </w:r>
      <w:r w:rsidRPr="000F0C83">
        <w:t>2023</w:t>
      </w:r>
      <w:r w:rsidR="00745B35">
        <w:t>”</w:t>
      </w:r>
      <w:bookmarkStart w:id="0" w:name="_GoBack"/>
      <w:bookmarkEnd w:id="0"/>
    </w:p>
    <w:p w:rsidR="0062624D" w:rsidRPr="00983BB2" w:rsidRDefault="0062624D" w:rsidP="00983BB2">
      <w:pPr>
        <w:spacing w:after="51"/>
        <w:ind w:left="137" w:right="111" w:firstLine="0"/>
        <w:rPr>
          <w:color w:val="auto"/>
          <w:highlight w:val="yellow"/>
        </w:rPr>
      </w:pP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Default="00FD4421" w:rsidP="00FD4421">
      <w:pPr>
        <w:ind w:left="360" w:right="111" w:firstLine="0"/>
        <w:rPr>
          <w:b/>
        </w:rPr>
      </w:pPr>
      <w:r w:rsidRPr="00983BB2">
        <w:t>„</w:t>
      </w:r>
      <w:r w:rsidR="006C0611">
        <w:rPr>
          <w:b/>
        </w:rPr>
        <w:t>Modernizacja sali gimnastycznej  przy Zespole Placówek Oświatowych w Kazanowie</w:t>
      </w:r>
      <w:r w:rsidRPr="00983BB2">
        <w:rPr>
          <w:b/>
        </w:rPr>
        <w:t>”</w:t>
      </w:r>
    </w:p>
    <w:p w:rsidR="00983BB2" w:rsidRPr="00983BB2" w:rsidRDefault="00983BB2" w:rsidP="00FD4421">
      <w:pPr>
        <w:ind w:left="360" w:right="111" w:firstLine="0"/>
        <w:rPr>
          <w:b/>
        </w:rPr>
      </w:pPr>
    </w:p>
    <w:p w:rsidR="006C0611" w:rsidRDefault="006C0611" w:rsidP="006C0611">
      <w:pPr>
        <w:ind w:left="360" w:firstLine="30"/>
      </w:pPr>
      <w:r>
        <w:t xml:space="preserve">Zakres robót obejmuje wykonanie </w:t>
      </w:r>
      <w:proofErr w:type="spellStart"/>
      <w:r>
        <w:t>ocyklinowania</w:t>
      </w:r>
      <w:proofErr w:type="spellEnd"/>
      <w:r>
        <w:t xml:space="preserve"> i lakierowania posadzki z deszczułek, wymianę instalacji c.o. wraz z grzejnikami, malowanie ścian i sufitów z wykonaniem lamperii do wysokości 2 metrów, dostawę i montaż wyposażenia sportowego, wymianę drzwi wejściowych do sali, malowanie linii boisk oraz dostawę i montaż wyposażenia sportowego.</w:t>
      </w:r>
    </w:p>
    <w:p w:rsidR="006C0611" w:rsidRPr="00ED1FD8" w:rsidRDefault="006C0611" w:rsidP="006C0611">
      <w:pPr>
        <w:pStyle w:val="Default"/>
        <w:ind w:firstLine="360"/>
        <w:rPr>
          <w:rFonts w:ascii="Times New Roman" w:hAnsi="Times New Roman" w:cs="Times New Roman"/>
          <w:sz w:val="22"/>
          <w:szCs w:val="20"/>
        </w:rPr>
      </w:pPr>
      <w:r w:rsidRPr="00ED1FD8">
        <w:rPr>
          <w:rFonts w:ascii="Times New Roman" w:hAnsi="Times New Roman" w:cs="Times New Roman"/>
          <w:sz w:val="22"/>
          <w:szCs w:val="20"/>
        </w:rPr>
        <w:t xml:space="preserve">Podstawowe dane wielkościowe: </w:t>
      </w:r>
    </w:p>
    <w:p w:rsidR="006C0611" w:rsidRPr="00ED1FD8" w:rsidRDefault="006C0611" w:rsidP="006C0611">
      <w:pPr>
        <w:pStyle w:val="Default"/>
        <w:ind w:firstLine="360"/>
        <w:rPr>
          <w:rFonts w:ascii="Times New Roman" w:hAnsi="Times New Roman" w:cs="Times New Roman"/>
          <w:sz w:val="22"/>
          <w:szCs w:val="20"/>
        </w:rPr>
      </w:pPr>
      <w:r w:rsidRPr="00ED1FD8">
        <w:rPr>
          <w:rFonts w:ascii="Times New Roman" w:hAnsi="Times New Roman" w:cs="Times New Roman"/>
          <w:sz w:val="22"/>
          <w:szCs w:val="20"/>
        </w:rPr>
        <w:t xml:space="preserve">Powierzchnia podłogi do </w:t>
      </w:r>
      <w:proofErr w:type="spellStart"/>
      <w:r w:rsidRPr="00ED1FD8">
        <w:rPr>
          <w:rFonts w:ascii="Times New Roman" w:hAnsi="Times New Roman" w:cs="Times New Roman"/>
          <w:sz w:val="22"/>
          <w:szCs w:val="20"/>
        </w:rPr>
        <w:t>ocyklinowania</w:t>
      </w:r>
      <w:proofErr w:type="spellEnd"/>
      <w:r w:rsidRPr="00ED1FD8">
        <w:rPr>
          <w:rFonts w:ascii="Times New Roman" w:hAnsi="Times New Roman" w:cs="Times New Roman"/>
          <w:sz w:val="22"/>
          <w:szCs w:val="20"/>
        </w:rPr>
        <w:t xml:space="preserve"> i lakierowania 273,0 m2 </w:t>
      </w:r>
    </w:p>
    <w:p w:rsidR="006C0611" w:rsidRPr="00ED1FD8" w:rsidRDefault="006C0611" w:rsidP="006C0611">
      <w:pPr>
        <w:pStyle w:val="Default"/>
        <w:ind w:firstLine="360"/>
        <w:rPr>
          <w:rFonts w:ascii="Times New Roman" w:hAnsi="Times New Roman" w:cs="Times New Roman"/>
          <w:sz w:val="22"/>
          <w:szCs w:val="20"/>
        </w:rPr>
      </w:pPr>
      <w:r w:rsidRPr="00ED1FD8">
        <w:rPr>
          <w:rFonts w:ascii="Times New Roman" w:hAnsi="Times New Roman" w:cs="Times New Roman"/>
          <w:sz w:val="22"/>
          <w:szCs w:val="20"/>
        </w:rPr>
        <w:t xml:space="preserve">Wymiana grzejników na nowe płytowe typu C33 - 8 szt. </w:t>
      </w:r>
    </w:p>
    <w:p w:rsidR="006C0611" w:rsidRPr="00ED1FD8" w:rsidRDefault="006C0611" w:rsidP="006C0611">
      <w:pPr>
        <w:pStyle w:val="Default"/>
        <w:ind w:firstLine="360"/>
        <w:rPr>
          <w:rFonts w:ascii="Times New Roman" w:hAnsi="Times New Roman" w:cs="Times New Roman"/>
          <w:sz w:val="22"/>
          <w:szCs w:val="20"/>
        </w:rPr>
      </w:pPr>
      <w:r w:rsidRPr="00ED1FD8">
        <w:rPr>
          <w:rFonts w:ascii="Times New Roman" w:hAnsi="Times New Roman" w:cs="Times New Roman"/>
          <w:sz w:val="22"/>
          <w:szCs w:val="20"/>
        </w:rPr>
        <w:t xml:space="preserve">Wymiana armatury instalacji grzejnikowej - zawory, głowice termostatyczne- 8 szt. </w:t>
      </w:r>
    </w:p>
    <w:p w:rsidR="006C0611" w:rsidRPr="00ED1FD8" w:rsidRDefault="006C0611" w:rsidP="006C0611">
      <w:r w:rsidRPr="00ED1FD8">
        <w:lastRenderedPageBreak/>
        <w:t xml:space="preserve">Demontaż, </w:t>
      </w:r>
      <w:proofErr w:type="spellStart"/>
      <w:r w:rsidRPr="00ED1FD8">
        <w:t>ocyklinowanie</w:t>
      </w:r>
      <w:proofErr w:type="spellEnd"/>
      <w:r w:rsidRPr="00ED1FD8">
        <w:t xml:space="preserve"> i lakierowanie listew osłon na grzejniki - 25,0 m2 </w:t>
      </w:r>
    </w:p>
    <w:p w:rsidR="006C0611" w:rsidRPr="00ED1FD8" w:rsidRDefault="006C0611" w:rsidP="006C0611">
      <w:r w:rsidRPr="00ED1FD8">
        <w:t xml:space="preserve">Montaż osłon z siatki z tworzywa - zabezpieczenie ścian i sufitu- 25,0 m2 </w:t>
      </w:r>
    </w:p>
    <w:p w:rsidR="006C0611" w:rsidRPr="00ED1FD8" w:rsidRDefault="006C0611" w:rsidP="006C0611">
      <w:r w:rsidRPr="00ED1FD8">
        <w:t xml:space="preserve">Wymiana drzwi na nowe aluminiowe 3,10 m2 </w:t>
      </w:r>
    </w:p>
    <w:p w:rsidR="006C0611" w:rsidRPr="00ED1FD8" w:rsidRDefault="006C0611" w:rsidP="006C0611">
      <w:r w:rsidRPr="00ED1FD8">
        <w:t xml:space="preserve">Montaż wyposażenia sportowego </w:t>
      </w:r>
    </w:p>
    <w:p w:rsidR="006C0611" w:rsidRPr="00ED1FD8" w:rsidRDefault="006C0611" w:rsidP="006C0611">
      <w:r w:rsidRPr="00ED1FD8">
        <w:t xml:space="preserve">- bramki do piłki ręcznej mocowane do ściany szt. 2 </w:t>
      </w:r>
    </w:p>
    <w:p w:rsidR="006C0611" w:rsidRPr="00ED1FD8" w:rsidRDefault="006C0611" w:rsidP="006C0611">
      <w:r w:rsidRPr="00ED1FD8">
        <w:t xml:space="preserve">- drabinki h = 3,0 m podwójne mocowane do ściany - 8 szt. </w:t>
      </w:r>
    </w:p>
    <w:p w:rsidR="006C0611" w:rsidRPr="00ED1FD8" w:rsidRDefault="006C0611" w:rsidP="006C0611">
      <w:r w:rsidRPr="00ED1FD8">
        <w:t xml:space="preserve">- drabinki h = 3,0 m pojedyncze mocowane do ściany - 2 </w:t>
      </w:r>
      <w:proofErr w:type="spellStart"/>
      <w:r w:rsidRPr="00ED1FD8">
        <w:t>szt</w:t>
      </w:r>
      <w:proofErr w:type="spellEnd"/>
      <w:r w:rsidRPr="00ED1FD8">
        <w:t xml:space="preserve"> </w:t>
      </w:r>
    </w:p>
    <w:p w:rsidR="006C0611" w:rsidRPr="00ED1FD8" w:rsidRDefault="006C0611" w:rsidP="006C0611">
      <w:r w:rsidRPr="00ED1FD8">
        <w:t xml:space="preserve">- obręcze do tablic do koszykówki z siatkami szt. 6 </w:t>
      </w:r>
    </w:p>
    <w:p w:rsidR="006C0611" w:rsidRPr="00ED1FD8" w:rsidRDefault="006C0611" w:rsidP="006C0611">
      <w:r w:rsidRPr="00ED1FD8">
        <w:t xml:space="preserve">- przyścienna konstrukcja do siatkówki z siatką - 1 </w:t>
      </w:r>
      <w:proofErr w:type="spellStart"/>
      <w:r w:rsidRPr="00ED1FD8">
        <w:t>kpl</w:t>
      </w:r>
      <w:proofErr w:type="spellEnd"/>
      <w:r w:rsidRPr="00ED1FD8">
        <w:t xml:space="preserve">. </w:t>
      </w:r>
    </w:p>
    <w:p w:rsidR="006C0611" w:rsidRPr="00ED1FD8" w:rsidRDefault="006C0611" w:rsidP="006C0611">
      <w:r w:rsidRPr="00ED1FD8">
        <w:t xml:space="preserve">- elektroniczna tablica wyników ze sterowaniem z pilota - 1 </w:t>
      </w:r>
      <w:proofErr w:type="spellStart"/>
      <w:r w:rsidRPr="00ED1FD8">
        <w:t>kpl</w:t>
      </w:r>
      <w:proofErr w:type="spellEnd"/>
      <w:r w:rsidRPr="00ED1FD8">
        <w:t xml:space="preserve">. </w:t>
      </w:r>
    </w:p>
    <w:p w:rsidR="006C0611" w:rsidRPr="00ED1FD8" w:rsidRDefault="006C0611" w:rsidP="006C0611">
      <w:r w:rsidRPr="00ED1FD8">
        <w:t xml:space="preserve">Wymiana tablicy sterującej oświetleniem na nową podtynkową z drzwiami stalowymi - 1 </w:t>
      </w:r>
      <w:proofErr w:type="spellStart"/>
      <w:r w:rsidRPr="00ED1FD8">
        <w:t>kpl</w:t>
      </w:r>
      <w:proofErr w:type="spellEnd"/>
      <w:r w:rsidRPr="00ED1FD8">
        <w:t xml:space="preserve">. </w:t>
      </w:r>
    </w:p>
    <w:p w:rsidR="006C0611" w:rsidRPr="00ED1FD8" w:rsidRDefault="006C0611" w:rsidP="006C0611">
      <w:r w:rsidRPr="00ED1FD8">
        <w:t xml:space="preserve">Zasilanie tablicy wyników - 42,0 </w:t>
      </w:r>
      <w:proofErr w:type="spellStart"/>
      <w:r w:rsidRPr="00ED1FD8">
        <w:t>mb</w:t>
      </w:r>
      <w:proofErr w:type="spellEnd"/>
      <w:r w:rsidRPr="00ED1FD8">
        <w:t xml:space="preserve"> </w:t>
      </w:r>
    </w:p>
    <w:p w:rsidR="006C0611" w:rsidRPr="00ED1FD8" w:rsidRDefault="006C0611" w:rsidP="006C0611">
      <w:r w:rsidRPr="00ED1FD8">
        <w:t xml:space="preserve">Wymiana gniazd 230 V z wykonaniem obudowy - </w:t>
      </w:r>
      <w:proofErr w:type="spellStart"/>
      <w:r w:rsidRPr="00ED1FD8">
        <w:t>kpl</w:t>
      </w:r>
      <w:proofErr w:type="spellEnd"/>
      <w:r w:rsidRPr="00ED1FD8">
        <w:t xml:space="preserve">. 4 </w:t>
      </w:r>
    </w:p>
    <w:p w:rsidR="006C0611" w:rsidRPr="00ED1FD8" w:rsidRDefault="006C0611" w:rsidP="006C0611">
      <w:r w:rsidRPr="00ED1FD8">
        <w:t xml:space="preserve">Malowanie lamperii - 25,0 m2 </w:t>
      </w:r>
    </w:p>
    <w:p w:rsidR="006C0611" w:rsidRPr="002C4351" w:rsidRDefault="006C0611" w:rsidP="006C0611">
      <w:pPr>
        <w:rPr>
          <w:sz w:val="24"/>
        </w:rPr>
      </w:pPr>
      <w:r>
        <w:t xml:space="preserve">   </w:t>
      </w:r>
      <w:r w:rsidRPr="00ED1FD8">
        <w:t>Malowanie ścian i sufitów - 25,0 m2</w:t>
      </w:r>
    </w:p>
    <w:p w:rsidR="00983BB2" w:rsidRDefault="00983BB2" w:rsidP="00983BB2">
      <w:pPr>
        <w:ind w:left="0" w:right="111" w:firstLine="0"/>
        <w:rPr>
          <w:b/>
        </w:rPr>
      </w:pPr>
    </w:p>
    <w:p w:rsidR="00FD4421" w:rsidRPr="00237E03" w:rsidRDefault="00FD4421" w:rsidP="00FD4421">
      <w:pPr>
        <w:spacing w:after="35"/>
        <w:ind w:left="147" w:right="111" w:firstLine="0"/>
      </w:pPr>
      <w:r w:rsidRPr="00237E03">
        <w:rPr>
          <w:b/>
        </w:rPr>
        <w:t>Szczegółowy zakres robót opisany jest w pr</w:t>
      </w:r>
      <w:r>
        <w:rPr>
          <w:b/>
        </w:rPr>
        <w:t xml:space="preserve">zedmiarach robót oraz specyfikacjach technicznych wykonania </w:t>
      </w:r>
      <w:r>
        <w:rPr>
          <w:b/>
        </w:rPr>
        <w:br/>
        <w:t>i odbioru robót budowlanych</w:t>
      </w:r>
      <w:r w:rsidR="00983BB2">
        <w:rPr>
          <w:b/>
        </w:rPr>
        <w:t xml:space="preserve"> oraz w projekcie budowlanym. </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FD4421" w:rsidRPr="00927BA2">
        <w:rPr>
          <w:color w:val="000000" w:themeColor="text1"/>
        </w:rPr>
        <w:t>oraz Przedmiary Robót</w:t>
      </w:r>
      <w:r w:rsidR="00FD4421">
        <w:rPr>
          <w:color w:val="000000" w:themeColor="text1"/>
        </w:rPr>
        <w:t xml:space="preserve"> i Specyfikacje Techniczne Wykonania i Odbioru Robót Budowlanych</w:t>
      </w:r>
      <w:r w:rsidR="00983BB2">
        <w:rPr>
          <w:color w:val="000000" w:themeColor="text1"/>
        </w:rPr>
        <w:t xml:space="preserve"> oraz projekt budowlany.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FD4421" w:rsidRPr="00237E03" w:rsidRDefault="00FD4421" w:rsidP="00FD4421">
      <w:pPr>
        <w:numPr>
          <w:ilvl w:val="0"/>
          <w:numId w:val="4"/>
        </w:numPr>
        <w:spacing w:after="44"/>
        <w:ind w:left="358" w:right="111" w:hanging="221"/>
      </w:pPr>
      <w:r w:rsidRPr="00237E03">
        <w:t>Wymagany termin realizacji zamówienia do dnia</w:t>
      </w:r>
      <w:r>
        <w:rPr>
          <w:b/>
        </w:rPr>
        <w:t xml:space="preserve"> </w:t>
      </w:r>
      <w:r w:rsidR="002A0033">
        <w:rPr>
          <w:b/>
        </w:rPr>
        <w:t>……………………</w:t>
      </w:r>
      <w:r w:rsidRPr="00237E03">
        <w:rPr>
          <w:b/>
        </w:rPr>
        <w:t xml:space="preserve"> r.</w:t>
      </w:r>
      <w:r w:rsidRPr="00237E03">
        <w:t xml:space="preserve">  </w:t>
      </w:r>
    </w:p>
    <w:p w:rsidR="00FD4421" w:rsidRPr="00237E03" w:rsidRDefault="00FD4421" w:rsidP="00FD4421">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Pr="00237E03" w:rsidRDefault="00FD4421" w:rsidP="00510155">
      <w:pPr>
        <w:numPr>
          <w:ilvl w:val="0"/>
          <w:numId w:val="5"/>
        </w:numPr>
        <w:spacing w:after="42"/>
        <w:ind w:right="111" w:hanging="211"/>
      </w:pPr>
      <w:r>
        <w:t>Strony przewidują rozliczenie wynagrodzenia Wykonawcy jedną fakturą końcową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510155" w:rsidRDefault="00510155" w:rsidP="00FD4421">
      <w:pPr>
        <w:spacing w:after="61" w:line="259" w:lineRule="auto"/>
        <w:ind w:right="111"/>
        <w:jc w:val="center"/>
      </w:pPr>
    </w:p>
    <w:p w:rsidR="002A0033" w:rsidRDefault="002A0033" w:rsidP="00FD4421">
      <w:pPr>
        <w:spacing w:after="61" w:line="259" w:lineRule="auto"/>
        <w:ind w:right="111"/>
        <w:jc w:val="center"/>
      </w:pPr>
    </w:p>
    <w:p w:rsidR="002A0033" w:rsidRDefault="002A0033" w:rsidP="00FD4421">
      <w:pPr>
        <w:spacing w:after="61" w:line="259" w:lineRule="auto"/>
        <w:ind w:right="111"/>
        <w:jc w:val="center"/>
      </w:pP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FC0DD6" w:rsidRDefault="00FD4421" w:rsidP="00FD4421">
      <w:pPr>
        <w:numPr>
          <w:ilvl w:val="0"/>
          <w:numId w:val="7"/>
        </w:numPr>
        <w:ind w:left="377" w:right="111" w:hanging="240"/>
      </w:pPr>
      <w:r w:rsidRPr="00FC0DD6">
        <w:t xml:space="preserve">wykonanie czynności wymienionych w art. 22 ustawy Prawo budowlane,  </w:t>
      </w:r>
    </w:p>
    <w:p w:rsidR="00FD4421" w:rsidRPr="00FC0DD6" w:rsidRDefault="00FD4421" w:rsidP="00FD4421">
      <w:pPr>
        <w:numPr>
          <w:ilvl w:val="0"/>
          <w:numId w:val="7"/>
        </w:numPr>
        <w:ind w:left="377" w:right="111" w:hanging="240"/>
      </w:pPr>
      <w:r w:rsidRPr="00FC0DD6">
        <w:t xml:space="preserve">przestrzeganie ogólnych wymagań dotyczących robót w zakresie określonym w </w:t>
      </w:r>
      <w:r w:rsidR="00FC0DD6" w:rsidRPr="00FC0DD6">
        <w:t xml:space="preserve">specyfikacji technicznej i projekcie budowlanym. </w:t>
      </w:r>
    </w:p>
    <w:p w:rsidR="00FD4421" w:rsidRPr="00237E03" w:rsidRDefault="00FD4421" w:rsidP="00FD4421">
      <w:pPr>
        <w:numPr>
          <w:ilvl w:val="0"/>
          <w:numId w:val="7"/>
        </w:numPr>
        <w:ind w:left="377" w:right="111" w:hanging="240"/>
      </w:pPr>
      <w:r w:rsidRPr="00237E03">
        <w:t xml:space="preserve">wykonanie przedmiotu umowy w oparciu o dokumentację projektową z uwzględnieniem wymagań określonych </w:t>
      </w:r>
      <w:r w:rsidR="00FC0DD6">
        <w:t>specyfikacji technicznej</w:t>
      </w:r>
      <w:r w:rsidRPr="00237E03">
        <w:t xml:space="preserve">,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w:t>
      </w:r>
      <w:r w:rsidR="006B0FF1">
        <w:t>5</w:t>
      </w:r>
      <w:r w:rsidRPr="00237E03">
        <w:t xml:space="preserve"> dni robocz</w:t>
      </w:r>
      <w:r w:rsidR="006B0FF1">
        <w:t>ych</w:t>
      </w:r>
      <w:r w:rsidRPr="00237E03">
        <w:t xml:space="preserv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903405">
      <w:pPr>
        <w:numPr>
          <w:ilvl w:val="0"/>
          <w:numId w:val="15"/>
        </w:numPr>
        <w:spacing w:after="42"/>
        <w:ind w:left="358" w:right="111" w:hanging="221"/>
      </w:pPr>
      <w:r w:rsidRPr="00237E03">
        <w:t>Wykonawca, podwykonawca lub dalszy podwykonawca zamówienia na roboty budowlane przedkłada Zamawiającemu poświad</w:t>
      </w:r>
      <w:r w:rsidR="00903405">
        <w:t xml:space="preserve">czoną za zgodność z oryginałem </w:t>
      </w: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w:t>
      </w:r>
      <w:r w:rsidRPr="005E314C">
        <w:rPr>
          <w:b/>
        </w:rPr>
        <w:t>RĘKOJMIA</w:t>
      </w:r>
      <w:r w:rsidRPr="00237E03">
        <w:rPr>
          <w:b/>
        </w:rPr>
        <w:t xml:space="preserve">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 xml:space="preserve">Łączna maksymalna wysokość kar umownych, których mogą dochodzić strony wynosi 20% </w:t>
      </w:r>
      <w:r w:rsidR="00903405">
        <w:t>wartości</w:t>
      </w:r>
      <w:r>
        <w:t xml:space="preserve">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63" w:rsidRDefault="00E86663">
      <w:pPr>
        <w:spacing w:after="0" w:line="240" w:lineRule="auto"/>
      </w:pPr>
      <w:r>
        <w:separator/>
      </w:r>
    </w:p>
  </w:endnote>
  <w:endnote w:type="continuationSeparator" w:id="0">
    <w:p w:rsidR="00E86663" w:rsidRDefault="00E8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E86663"/>
  <w:p w:rsidR="00EA1B55" w:rsidRDefault="00E8666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E86663"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E86663"/>
  <w:p w:rsidR="00EA1B55" w:rsidRDefault="00E8666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E86663"/>
  <w:p w:rsidR="00EA1B55" w:rsidRDefault="00E866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63" w:rsidRDefault="00E86663">
      <w:pPr>
        <w:spacing w:after="0" w:line="240" w:lineRule="auto"/>
      </w:pPr>
      <w:r>
        <w:separator/>
      </w:r>
    </w:p>
  </w:footnote>
  <w:footnote w:type="continuationSeparator" w:id="0">
    <w:p w:rsidR="00E86663" w:rsidRDefault="00E86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116530"/>
    <w:rsid w:val="001637FC"/>
    <w:rsid w:val="002A0033"/>
    <w:rsid w:val="00345CFC"/>
    <w:rsid w:val="003A7B1C"/>
    <w:rsid w:val="003B56E2"/>
    <w:rsid w:val="004448BA"/>
    <w:rsid w:val="00510155"/>
    <w:rsid w:val="005A492E"/>
    <w:rsid w:val="005E314C"/>
    <w:rsid w:val="0062624D"/>
    <w:rsid w:val="00633B18"/>
    <w:rsid w:val="00691AFE"/>
    <w:rsid w:val="006B0FF1"/>
    <w:rsid w:val="006C0611"/>
    <w:rsid w:val="006D39D8"/>
    <w:rsid w:val="00745B35"/>
    <w:rsid w:val="00903405"/>
    <w:rsid w:val="00936F5E"/>
    <w:rsid w:val="00983BB2"/>
    <w:rsid w:val="00C13B62"/>
    <w:rsid w:val="00E77198"/>
    <w:rsid w:val="00E86663"/>
    <w:rsid w:val="00EC4A2A"/>
    <w:rsid w:val="00EC7395"/>
    <w:rsid w:val="00EF24CE"/>
    <w:rsid w:val="00F80639"/>
    <w:rsid w:val="00F87DA4"/>
    <w:rsid w:val="00FC0DD6"/>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2910"/>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 w:type="paragraph" w:customStyle="1" w:styleId="Default">
    <w:name w:val="Default"/>
    <w:rsid w:val="006C0611"/>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4967</Words>
  <Characters>29807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MS1</cp:lastModifiedBy>
  <cp:revision>3</cp:revision>
  <dcterms:created xsi:type="dcterms:W3CDTF">2023-06-06T13:04:00Z</dcterms:created>
  <dcterms:modified xsi:type="dcterms:W3CDTF">2023-06-29T08:31:00Z</dcterms:modified>
</cp:coreProperties>
</file>